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/>
      </w:pPr>
      <w:r>
        <w:drawing>
          <wp:inline distT="0" distB="0" distL="0" distR="0">
            <wp:extent cx="32385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cs="Georgia" w:eastAsia="Georgia" w:hAnsi="Georgia"/>
          <w:b/>
          <w:bCs/>
          <w:color w:val="0C2233"/>
          <w:sz w:val="38"/>
          <w:szCs w:val="38"/>
        </w:rPr>
        <w:t xml:space="preserve">  Rheumatology referral</w:t>
      </w:r>
    </w:p>
    <w:p>
      <w:pPr>
        <w:keepLines/>
        <w:spacing w:after="140" w:before="0" w:line="252"/>
      </w:pPr>
      <w:r>
        <w:rPr>
          <w:rFonts w:ascii="Calibri" w:cs="Calibri" w:eastAsia="Calibri" w:hAnsi="Calibri"/>
          <w:color w:val="4F5C66"/>
          <w:sz w:val="19"/>
          <w:szCs w:val="19"/>
        </w:rPr>
        <w:t xml:space="preserve">Fill in what you know. Don't hold an urgent referral while waiting for results.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F2B8B2" w:sz="6"/>
              <w:left w:val="single" w:color="F2B8B2" w:sz="6"/>
              <w:bottom w:val="single" w:color="F2B8B2" w:sz="6"/>
              <w:right w:val="single" w:color="F2B8B2" w:sz="6"/>
            </w:tcBorders>
            <w:shd w:fill="FEF3F2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r>
              <w:rPr>
                <w:rFonts w:ascii="Calibri" w:cs="Calibri" w:eastAsia="Calibri" w:hAnsi="Calibri"/>
                <w:b/>
                <w:bCs/>
                <w:color w:val="B42318"/>
                <w:sz w:val="20"/>
                <w:szCs w:val="20"/>
              </w:rPr>
              <w:t xml:space="preserve">Call instead of sending this form</w:t>
            </w:r>
          </w:p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7"/>
                <w:szCs w:val="17"/>
              </w:rPr>
              <w:t xml:space="preserve">Phone rheumatology (or send to the emergency department) the same day for: suspected giant cell arteritis, especially with visual symptoms · a hot, swollen joint with fever (septic arthritis until proven otherwise) · suspected vasculitis or lupus with kidney involvement or coughing blood · new severe hypertension or kidney injury in systemic sclerosis · weakness with trouble swallowing or breathing · persistent fever with falling blood counts and a very high ferritin. For children, see the pediatric red flags card.</w:t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1.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Referring clinician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040"/>
        <w:gridCol w:w="2000"/>
        <w:gridCol w:w="3040"/>
      </w:tblGrid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Date of referral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Name and credentials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Practice or clinic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Specialty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Direct phone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Secure message or fax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Best way to reach you for a quick question</w:t>
            </w:r>
          </w:p>
        </w:tc>
        <w:tc>
          <w:tcPr>
            <w:tcW w:type="dxa" w:w="8080"/>
            <w:gridSpan w:val="3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2.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Patient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040"/>
        <w:gridCol w:w="2000"/>
        <w:gridCol w:w="3040"/>
      </w:tblGrid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Name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Date of birth (age)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Sex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Phone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Preferred language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Interpreter needed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Yes</w:t>
            </w: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   </w:t>
            </w:r>
            <w:sdt>
              <w:sdtPr>
                <w:id w:val="4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No</w:t>
            </w:r>
          </w:p>
        </w:tc>
      </w:tr>
      <w:tr>
        <w:trPr>
          <w:cantSplit/>
          <w:trHeight w:val="4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Record or insurance number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Travel or access needs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2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3.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How soon should the patient be seen?</w:t>
      </w:r>
    </w:p>
    <w:p>
      <w:pPr>
        <w:keepNext/>
        <w:keepLines/>
        <w:spacing w:after="80" w:before="0" w:line="252"/>
      </w:pPr>
      <w:r>
        <w:rPr>
          <w:rFonts w:ascii="Calibri" w:cs="Calibri" w:eastAsia="Calibri" w:hAnsi="Calibri"/>
          <w:i/>
          <w:iCs/>
          <w:color w:val="4F5C66"/>
          <w:sz w:val="17"/>
          <w:szCs w:val="17"/>
        </w:rPr>
        <w:t xml:space="preserve">Your best estimate. The rheumatology team will confirm the urgency at triage.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50" w:before="0" w:line="252"/>
            </w:pPr>
            <w:sdt>
              <w:sdtPr>
                <w:id w:val="4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 Urgent: within 2–4 weeks (for example, new inflammatory arthritis or suspected connective tissue disease)</w:t>
            </w:r>
          </w:p>
          <w:p>
            <w:pPr>
              <w:keepLines/>
              <w:spacing w:after="50" w:before="0" w:line="252"/>
            </w:pPr>
            <w:sdt>
              <w:sdtPr>
                <w:id w:val="4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 Semi-urgent: within 4–8 weeks</w:t>
            </w:r>
          </w:p>
          <w:p>
            <w:pPr>
              <w:keepLines/>
              <w:spacing w:after="50" w:before="0" w:line="252"/>
            </w:pPr>
            <w:sdt>
              <w:sdtPr>
                <w:id w:val="4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 Routine: about 8–12 weeks</w:t>
            </w:r>
          </w:p>
          <w:p>
            <w:pPr>
              <w:keepLines/>
              <w:spacing w:after="50" w:before="0" w:line="252"/>
            </w:pPr>
            <w:sdt>
              <w:sdtPr>
                <w:id w:val="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>  Advice first: please tell me whether the patient needs to be seen, and what to send or start in the meantime</w:t>
            </w:r>
          </w:p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i/>
                <w:iCs/>
                <w:color w:val="4F5C66"/>
                <w:sz w:val="17"/>
                <w:szCs w:val="17"/>
              </w:rPr>
              <w:t xml:space="preserve">Emergent problems: please call rather than send this form (see the box above).</w:t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2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4.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Your question and working diagnosis</w:t>
      </w:r>
    </w:p>
    <w:p>
      <w:pPr>
        <w:keepNext/>
        <w:keepLines/>
        <w:spacing w:after="80" w:before="0" w:line="252"/>
      </w:pPr>
      <w:r>
        <w:rPr>
          <w:rFonts w:ascii="Calibri" w:cs="Calibri" w:eastAsia="Calibri" w:hAnsi="Calibri"/>
          <w:i/>
          <w:iCs/>
          <w:color w:val="4F5C66"/>
          <w:sz w:val="17"/>
          <w:szCs w:val="17"/>
        </w:rPr>
        <w:t xml:space="preserve">One clear question helps the triager most. Even a tentative diagnosis ("possible early RA") is useful.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What you are asking for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Diagnosis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Treatment advice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Shared-care plan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Second opinion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Other</w:t>
            </w: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Your question, in one sentence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9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Working diagnosis and why you are concerned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ageBreakBefore/>
        <w:pBdr>
          <w:bottom w:val="single" w:color="0C2233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5.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History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Symptom onset (date)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Course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Getting worse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Stable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Improving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Comes and goes</w:t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Morning stiffness (minutes)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Main symptoms and pattern (which joints or areas, symmetry, function)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6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Other features: skin, nails, eyes, mouth, Raynaud's, bowel, lungs, kidneys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Family history (autoimmune disease, psoriasis, IBD)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60" w:before="0" w:line="252"/>
      </w:pPr>
      <w:r>
        <w:rPr>
          <w:rFonts w:ascii="Calibri" w:cs="Calibri" w:eastAsia="Calibri" w:hAnsi="Calibri"/>
          <w:color w:val="1B2731"/>
          <w:sz w:val="19"/>
          <w:szCs w:val="19"/>
        </w:rPr>
        <w:t xml:space="preserve"/>
      </w:r>
    </w:p>
    <w:p>
      <w:pPr>
        <w:keepNext/>
        <w:keepLines/>
        <w:spacing w:after="60" w:before="0" w:line="252"/>
      </w:pPr>
      <w:r>
        <w:rPr>
          <w:rFonts w:ascii="Calibri" w:cs="Calibri" w:eastAsia="Calibri" w:hAnsi="Calibri"/>
          <w:b/>
          <w:bCs/>
          <w:color w:val="0C2233"/>
          <w:sz w:val="19"/>
          <w:szCs w:val="19"/>
        </w:rPr>
        <w:t xml:space="preserve">Red flags. </w:t>
      </w:r>
      <w:r>
        <w:rPr>
          <w:rFonts w:ascii="Calibri" w:cs="Calibri" w:eastAsia="Calibri" w:hAnsi="Calibri"/>
          <w:color w:val="4F5C66"/>
          <w:sz w:val="17"/>
          <w:szCs w:val="17"/>
        </w:rPr>
        <w:t xml:space="preserve">Stating that a red flag is absent helps triage too.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880"/>
        <w:gridCol w:w="900"/>
        <w:gridCol w:w="900"/>
        <w:gridCol w:w="2400"/>
      </w:tblGrid>
      <w:tr>
        <w:trPr>
          <w:cantSplit/>
          <w:tblHeader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Feature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Present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Absent</w:t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Details</w:t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Fever or night sweats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Unintended weight loss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New headache, jaw pain on chewing or visual symptoms (age 50 or older)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Muscle weakness (not just pain), or trouble swallowing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Breathlessness or new cough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Protein or blood in the urine, or a rising creatinine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Digital ulcers, or a cold, painful finger or toe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5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Rash, mouth ulcers or eye redness and pain</w:t>
            </w:r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2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6.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Examination</w:t>
      </w:r>
    </w:p>
    <w:p>
      <w:pPr>
        <w:keepNext/>
        <w:keepLines/>
        <w:spacing w:after="80" w:before="0" w:line="252"/>
      </w:pPr>
      <w:r>
        <w:rPr>
          <w:rFonts w:ascii="Calibri" w:cs="Calibri" w:eastAsia="Calibri" w:hAnsi="Calibri"/>
          <w:i/>
          <w:iCs/>
          <w:color w:val="4F5C66"/>
          <w:sz w:val="17"/>
          <w:szCs w:val="17"/>
        </w:rPr>
        <w:t xml:space="preserve">Swollen joints are the single most useful finding. Tender joints alone are less specific.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60"/>
        <w:gridCol w:w="1180"/>
        <w:gridCol w:w="1180"/>
        <w:gridCol w:w="1180"/>
        <w:gridCol w:w="1180"/>
        <w:gridCol w:w="2800"/>
      </w:tblGrid>
      <w:tr>
        <w:trPr>
          <w:cantSplit/>
          <w:tblHeader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Joint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Right swollen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Right tender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Left swollen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Left tender</w:t>
            </w:r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Notes</w:t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Shoulder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Elbow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Wrist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MCP joints (which?)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PIP joints (which?)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DIP joints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Hip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Knee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Ankle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MTP joints (which?)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56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Neck, back or sacroiliac</w:t>
            </w:r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11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center"/>
          </w:tcPr>
          <w:p>
            <w:pPr>
              <w:keepLines/>
              <w:spacing w:after="0" w:before="0" w:line="252"/>
              <w:jc w:val="center"/>
            </w:pPr>
            <w:sdt>
              <w:sdtPr>
                <w:id w:val="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type="dxa" w:w="2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60" w:before="0" w:line="252"/>
      </w:pPr>
      <w:r>
        <w:rPr>
          <w:rFonts w:ascii="Calibri" w:cs="Calibri" w:eastAsia="Calibri" w:hAnsi="Calibri"/>
          <w:color w:val="1B2731"/>
          <w:sz w:val="19"/>
          <w:szCs w:val="19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rHeight w:val="76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Other findings: rash (photos help), nails, eyes, skin thickening, nodules, muscle strength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ageBreakBefore/>
        <w:pBdr>
          <w:bottom w:val="single" w:color="0C2233" w:sz="6" w:space="2"/>
        </w:pBdr>
        <w:spacing w:after="2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7.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Results</w:t>
      </w:r>
    </w:p>
    <w:p>
      <w:pPr>
        <w:keepNext/>
        <w:keepLines/>
        <w:spacing w:after="80" w:before="0" w:line="252"/>
      </w:pPr>
      <w:r>
        <w:rPr>
          <w:rFonts w:ascii="Calibri" w:cs="Calibri" w:eastAsia="Calibri" w:hAnsi="Calibri"/>
          <w:i/>
          <w:iCs/>
          <w:color w:val="4F5C66"/>
          <w:sz w:val="17"/>
          <w:szCs w:val="17"/>
        </w:rPr>
        <w:t xml:space="preserve">Include dates, titers, patterns and reference ranges, and attach reports where you can. Send what fits the clinical picture; the pre-referral checklist at rheumreferral.com/refer/how-to-refer/ lists the usual workup by condition.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900"/>
        <w:gridCol w:w="4380"/>
        <w:gridCol w:w="1800"/>
      </w:tblGrid>
      <w:tr>
        <w:trPr>
          <w:cantSplit/>
          <w:tblHeader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Test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Result (with units or range)</w:t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CBC with differential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Creatinine and eGFR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Liver tests (ALT, AST, albumin)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ESR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CRP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RF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Anti-CCP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ANA (titer and pattern)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ENA panel, anti-dsDNA, C3 and C4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Urinalysis with microscopy; urine protein:creatinine ratio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CK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Uric acid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HLA-B27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ANCA (PR3 and MPO)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Hepatitis B (HBsAg, anti-HBc, anti-HBs) and hepatitis C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TB screening (IGRA)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X-rays (hands and feet, or other)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Other imaging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39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Other</w:t>
            </w:r>
          </w:p>
        </w:tc>
        <w:tc>
          <w:tcPr>
            <w:tcW w:type="dxa" w:w="43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18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2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8.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Treatments tried</w:t>
      </w:r>
    </w:p>
    <w:p>
      <w:pPr>
        <w:keepNext/>
        <w:keepLines/>
        <w:spacing w:after="80" w:before="0" w:line="252"/>
      </w:pPr>
      <w:r>
        <w:rPr>
          <w:rFonts w:ascii="Calibri" w:cs="Calibri" w:eastAsia="Calibri" w:hAnsi="Calibri"/>
          <w:i/>
          <w:iCs/>
          <w:color w:val="4F5C66"/>
          <w:sz w:val="17"/>
          <w:szCs w:val="17"/>
        </w:rPr>
        <w:t xml:space="preserve">Glucocorticoids can mask synovitis and change test results, so doses and dates matter.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2200"/>
        <w:gridCol w:w="2400"/>
        <w:gridCol w:w="2880"/>
      </w:tblGrid>
      <w:tr>
        <w:trPr>
          <w:cantSplit/>
          <w:tblHeader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Medicine</w:t>
            </w:r>
          </w:p>
        </w:tc>
        <w:tc>
          <w:tcPr>
            <w:tcW w:type="dxa" w:w="22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Dose</w:t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Dates</w:t>
            </w:r>
          </w:p>
        </w:tc>
        <w:tc>
          <w:tcPr>
            <w:tcW w:type="dxa" w:w="2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Response</w:t>
            </w:r>
          </w:p>
        </w:tc>
      </w:tr>
      <w:tr>
        <w:trPr>
          <w:cantSplit/>
          <w:trHeight w:val="4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NSAID</w:t>
            </w:r>
          </w:p>
        </w:tc>
        <w:tc>
          <w:tcPr>
            <w:tcW w:type="dxa" w:w="22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Glucocorticoid (oral or injection)</w:t>
            </w:r>
          </w:p>
        </w:tc>
        <w:tc>
          <w:tcPr>
            <w:tcW w:type="dxa" w:w="22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Other (DMARD, colchicine, urate-lowering)</w:t>
            </w:r>
          </w:p>
        </w:tc>
        <w:tc>
          <w:tcPr>
            <w:tcW w:type="dxa" w:w="22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Other</w:t>
            </w:r>
          </w:p>
        </w:tc>
        <w:tc>
          <w:tcPr>
            <w:tcW w:type="dxa" w:w="22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4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8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Next/>
        <w:keepLines/>
        <w:pageBreakBefore/>
        <w:pBdr>
          <w:bottom w:val="single" w:color="0C2233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9.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Context that changes the plan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Pregnant, breastfeeding or planning a pregnancy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Yes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No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Not applicable</w:t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Contraception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Infections: TB exposure, hepatitis B or C, HIV, recurrent infections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5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Kidney, liver or lung disease; cancer history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Current medicines (or attach a list) and allergies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Vaccines up to date (zoster, pneumococcal, influenza, COVID-19)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Yes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No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Not sure</w:t>
            </w:r>
          </w:p>
        </w:tc>
      </w:tr>
    </w:tbl>
    <w:p>
      <w:pPr>
        <w:keepNext/>
        <w:keepLines/>
        <w:pBdr>
          <w:bottom w:val="single" w:color="0C2233" w:sz="6" w:space="2"/>
        </w:pBdr>
        <w:spacing w:after="80" w:before="200"/>
      </w:pPr>
      <w:r>
        <w:rPr>
          <w:rFonts w:ascii="Georgia" w:cs="Georgia" w:eastAsia="Georgia" w:hAnsi="Georgia"/>
          <w:b/>
          <w:bCs/>
          <w:color w:val="14765F"/>
          <w:sz w:val="24"/>
          <w:szCs w:val="24"/>
        </w:rPr>
        <w:t xml:space="preserve">10. </w:t>
      </w:r>
      <w:r>
        <w:rPr>
          <w:rFonts w:ascii="Georgia" w:cs="Georgia" w:eastAsia="Georgia" w:hAnsi="Georgia"/>
          <w:b/>
          <w:bCs/>
          <w:color w:val="0C2233"/>
          <w:sz w:val="24"/>
          <w:szCs w:val="24"/>
        </w:rPr>
        <w:t xml:space="preserve">Attachments and what the patient knows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7480"/>
      </w:tblGrid>
      <w:tr>
        <w:trPr>
          <w:cantSplit/>
          <w:trHeight w:val="52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Attached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30" w:before="0" w:line="252"/>
            </w:pPr>
            <w:sdt>
              <w:sdtPr>
                <w:id w:val="4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Lab reports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Imaging reports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Photos (with consent)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Clinic notes</w:t>
            </w:r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   </w:t>
            </w:r>
            <w:sdt>
              <w:sdtPr>
                <w:id w:val="4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Medicine list</w:t>
            </w:r>
          </w:p>
        </w:tc>
      </w:tr>
      <w:tr>
        <w:trPr>
          <w:cantSplit/>
          <w:trHeight w:val="640" w:hRule="atLeast"/>
        </w:trPr>
        <w:tc>
          <w:tcPr>
            <w:tcW w:type="dxa" w:w="26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The patient has been told</w:t>
            </w:r>
          </w:p>
        </w:tc>
        <w:tc>
          <w:tcPr>
            <w:tcW w:type="dxa" w:w="748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spacing w:after="0"/>
            </w:pPr>
            <w:sdt>
              <w:sdtPr>
                <w:id w:val="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Why they are being referred and the likely wait     </w:t>
            </w:r>
            <w:sdt>
              <w:sdtPr>
                <w:id w:val="4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When to seek help sooner     </w:t>
            </w:r>
            <w:sdt>
              <w:sdtPr>
                <w:id w:val="4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rFonts w:ascii="Calibri" w:cs="Calibri" w:eastAsia="Calibri" w:hAnsi="Calibri"/>
                <w:color w:val="1B2731"/>
                <w:sz w:val="18"/>
                <w:szCs w:val="18"/>
              </w:rPr>
              <w:t xml:space="preserve"> Given the patient handout</w:t>
            </w:r>
          </w:p>
        </w:tc>
      </w:tr>
    </w:tbl>
    <w:p>
      <w:pPr>
        <w:keepLines/>
        <w:spacing w:after="80" w:before="0" w:line="252"/>
      </w:pPr>
      <w:r>
        <w:rPr>
          <w:rFonts w:ascii="Calibri" w:cs="Calibri" w:eastAsia="Calibri" w:hAnsi="Calibri"/>
          <w:color w:val="1B2731"/>
          <w:sz w:val="19"/>
          <w:szCs w:val="19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00"/>
        <w:gridCol w:w="3040"/>
        <w:gridCol w:w="2000"/>
        <w:gridCol w:w="3040"/>
      </w:tblGrid>
      <w:tr>
        <w:trPr>
          <w:cantSplit/>
          <w:trHeight w:val="520" w:hRule="atLeast"/>
        </w:trPr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Signature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shd w:fill="F4F1EA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2C3A45"/>
                <w:sz w:val="17"/>
                <w:szCs w:val="17"/>
              </w:rPr>
              <w:t xml:space="preserve">Date</w:t>
            </w:r>
          </w:p>
        </w:tc>
        <w:tc>
          <w:tcPr>
            <w:tcW w:type="dxa" w:w="3040"/>
            <w:tcBorders>
              <w:top w:val="single" w:color="C9C2B4" w:sz="4"/>
              <w:left w:val="single" w:color="C9C2B4" w:sz="4"/>
              <w:bottom w:val="single" w:color="C9C2B4" w:sz="4"/>
              <w:right w:val="single" w:color="C9C2B4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color w:val="1B2731"/>
                <w:sz w:val="19"/>
                <w:szCs w:val="19"/>
              </w:rPr>
              <w:t xml:space="preserve"/>
            </w:r>
          </w:p>
        </w:tc>
      </w:tr>
    </w:tbl>
    <w:p>
      <w:pPr>
        <w:keepLines/>
        <w:spacing w:after="80" w:before="0" w:line="252"/>
      </w:pPr>
      <w:r>
        <w:rPr>
          <w:rFonts w:ascii="Calibri" w:cs="Calibri" w:eastAsia="Calibri" w:hAnsi="Calibri"/>
          <w:color w:val="1B2731"/>
          <w:sz w:val="19"/>
          <w:szCs w:val="19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EAD7AC" w:sz="6"/>
              <w:left w:val="single" w:color="EAD7AC" w:sz="6"/>
              <w:bottom w:val="single" w:color="EAD7AC" w:sz="6"/>
              <w:right w:val="single" w:color="EAD7AC" w:sz="6"/>
            </w:tcBorders>
            <w:shd w:fill="FBF5E7" w:color="auto" w:val="clear"/>
            <w:tcMar>
              <w:top w:type="dxa" w:w="40"/>
              <w:left w:type="dxa" w:w="100"/>
              <w:bottom w:type="dxa" w:w="40"/>
              <w:right w:type="dxa" w:w="100"/>
            </w:tcMar>
            <w:vAlign w:val="top"/>
          </w:tcPr>
          <w:p>
            <w:pPr>
              <w:keepLines/>
              <w:spacing w:after="0" w:before="0" w:line="252"/>
            </w:pPr>
            <w:r>
              <w:rPr>
                <w:rFonts w:ascii="Calibri" w:cs="Calibri" w:eastAsia="Calibri" w:hAnsi="Calibri"/>
                <w:b/>
                <w:bCs/>
                <w:color w:val="0C2233"/>
                <w:sz w:val="17"/>
                <w:szCs w:val="17"/>
              </w:rPr>
              <w:t xml:space="preserve">Why these fields? </w:t>
            </w:r>
            <w:r>
              <w:rPr>
                <w:rFonts w:ascii="Calibri" w:cs="Calibri" w:eastAsia="Calibri" w:hAnsi="Calibri"/>
                <w:color w:val="1B2731"/>
                <w:sz w:val="17"/>
                <w:szCs w:val="17"/>
              </w:rPr>
              <w:t xml:space="preserve">In one clinic audit, 47% of referrals changed urgency grade once the patient was seen, and 17% were upgraded to urgent. The letters for those urgent patients often lacked a working diagnosis, symptom duration or the joints involved (Graydon and Thompson, J Rheumatol 2008). A patient handout, the pre-referral checklist and condition-by-condition guidance are free at rheumreferral.com.</w:t>
            </w:r>
          </w:p>
        </w:tc>
      </w:tr>
    </w:tbl>
    <w:sectPr>
      <w:footerReference w:type="default" r:id="rId7"/>
      <w:pgSz w:w="12240" w:h="15840" w:orient="portrait"/>
      <w:pgMar w:top="900" w:right="1080" w:bottom="900" w:left="108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2B4" w:sz="4" w:space="4"/>
      </w:pBdr>
      <w:tabs>
        <w:tab w:val="right" w:pos="10080"/>
      </w:tabs>
      <w:spacing w:after="0" w:before="60"/>
      <w:jc w:val="left"/>
    </w:pPr>
    <w:r>
      <w:rPr>
        <w:rFonts w:ascii="Calibri" w:cs="Calibri" w:eastAsia="Calibri" w:hAnsi="Calibri"/>
        <w:color w:val="4F5C66"/>
        <w:sz w:val="14"/>
        <w:szCs w:val="14"/>
      </w:rPr>
      <w:t xml:space="preserve">Internal use only · RheumReferral · rheumreferral.com · Reviewed October 2026 · Educational; not affiliated with any professional organization.</w:t>
    </w:r>
    <w:r>
      <w:rPr>
        <w:rFonts w:ascii="Calibri" w:cs="Calibri" w:eastAsia="Calibri" w:hAnsi="Calibri"/>
        <w:color w:val="4F5C66"/>
        <w:sz w:val="14"/>
        <w:szCs w:val="14"/>
      </w:rPr>
      <w:t xml:space="preserve">	Page </w:t>
    </w:r>
    <w:r>
      <w:rPr>
        <w:rFonts w:ascii="Calibri" w:cs="Calibri" w:eastAsia="Calibri" w:hAnsi="Calibri"/>
        <w:color w:val="4F5C6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4F5C66"/>
        <w:sz w:val="14"/>
        <w:szCs w:val="14"/>
      </w:rPr>
      <w:t xml:space="preserve"> of </w:t>
    </w:r>
    <w:r>
      <w:rPr>
        <w:rFonts w:ascii="Calibri" w:cs="Calibri" w:eastAsia="Calibri" w:hAnsi="Calibri"/>
        <w:color w:val="4F5C6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e2b20719a072f66edd9b45a0703dc75803ca95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Rheumatology referral template</dc:title>
  <dc:creator>Vivek Mehta, MBBS</dc:creator>
  <dc:description>Editable rheumatology referral form from RheumReferral (rheumreferral.com).</dc:description>
  <cp:lastModifiedBy>Un-named</cp:lastModifiedBy>
  <cp:revision>1</cp:revision>
  <dcterms:created xsi:type="dcterms:W3CDTF">2026-10-17T01:32:49.397Z</dcterms:created>
  <dcterms:modified xsi:type="dcterms:W3CDTF">2026-10-17T01:32:49.398Z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